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8782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2B" w:rsidRDefault="007E7C2B" w:rsidP="003C07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132736862"/>
    </w:p>
    <w:p w:rsidR="000B63C9" w:rsidRDefault="00FA7CA5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УВЕЛИЧЕНЫ АВАНСЫ ПО ГОСКОНТРАКТАМ</w:t>
      </w:r>
      <w:bookmarkEnd w:id="0"/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7CA5" w:rsidRPr="003C07D9" w:rsidRDefault="00FA7CA5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6 марта 2023 г. N 348 "О приостановлении действия абзаца четвертого подпункта и подпункта 6 пункта 18 Положения о мерах по обеспечению исполнения федерального бюджета и установлении размеров авансовых платежей при заключении государственных (муниципальных) контрактов в 2023 году“ установлено, что до конца 2023 г. размер авансирования федеральных госконтрактов с казначейским сопровождением увеличивается до 50%. Регионам рекомендовано применять аналогичные положения.</w:t>
      </w:r>
    </w:p>
    <w:p w:rsidR="00FA7CA5" w:rsidRPr="003C07D9" w:rsidRDefault="00FA7CA5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A7CA5" w:rsidRPr="003C07D9" w:rsidSect="0042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25DCE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0042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2023-06-17T02:20:00Z</dcterms:modified>
</cp:coreProperties>
</file>