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РЕКВИЗИТЫ ДЛЯ УПЛАТЫ СТРАХОВЫХ ВЗНОСОВ,</w:t>
      </w: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 ПО СТРАХОВЫМ ВЗНОСАМ, ШТРАФОВ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Доводим до Вашего сведения, что с 01.01.2020 года </w:t>
      </w:r>
      <w:r w:rsidRPr="00383DB2">
        <w:rPr>
          <w:color w:val="1F497D" w:themeColor="text2"/>
          <w:u w:val="single"/>
        </w:rPr>
        <w:t xml:space="preserve">изменились коды бюджетной классификаций (КБК) по отдельным видам выплат </w:t>
      </w:r>
      <w:r w:rsidRPr="00383DB2">
        <w:rPr>
          <w:color w:val="1F497D" w:themeColor="text2"/>
        </w:rPr>
        <w:t>по обязательному социальному страхованию от несчастных случаев на производстве и профессиональных заболеваний.</w:t>
      </w:r>
    </w:p>
    <w:p w:rsidR="00A949E3" w:rsidRPr="00383DB2" w:rsidRDefault="00A949E3" w:rsidP="00A949E3">
      <w:pPr>
        <w:pStyle w:val="a3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  <w:r w:rsidRPr="00383DB2">
        <w:rPr>
          <w:rStyle w:val="a4"/>
          <w:color w:val="1F497D" w:themeColor="text2"/>
        </w:rPr>
        <w:t xml:space="preserve">Штрафы за нарушение законодательства (в счет погашения задолженности, образовавшейся </w:t>
      </w:r>
      <w:r w:rsidRPr="00383DB2">
        <w:rPr>
          <w:rStyle w:val="a4"/>
          <w:color w:val="1F497D" w:themeColor="text2"/>
          <w:u w:val="single"/>
        </w:rPr>
        <w:t>до 1 января 2020</w:t>
      </w:r>
      <w:r w:rsidRPr="00383DB2">
        <w:rPr>
          <w:rStyle w:val="a4"/>
          <w:color w:val="1F497D" w:themeColor="text2"/>
        </w:rPr>
        <w:t>):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 xml:space="preserve">КБК </w:t>
      </w: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ab/>
        <w:t>393 1 16 10125 01 0000 140: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нарушение страхователями установленного срока регистрации в качестве страхователя;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несоблюдение порядка представления расчета по начисленным и уплаченным страховым взносам в электронном виде;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отказ или непредставление в установленный срок документов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взносов; 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несообщение в установленный срок банком в территориальный орган Фонда сведений об открытии или о закрытии счета, об изменении реквизитов счета организации, индивидуального предпринимателя;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непредставление банком справок о наличии счетов в банке и (или) об остатках денежных средств на счетах, выписок по операциям на счетах организаций, индивидуальных предпринимателей в территориальный орган Фонда, а также представление справок (выписок) с нарушением срока или справок (выписок), содержащих недостоверные сведения;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нарушение банком установленного срока исполнения поручения страхователя о перечислении страховых взносов;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tabs>
          <w:tab w:val="left" w:pos="709"/>
          <w:tab w:val="left" w:pos="3600"/>
        </w:tabs>
        <w:spacing w:after="200"/>
        <w:ind w:left="0" w:firstLine="425"/>
        <w:jc w:val="both"/>
        <w:rPr>
          <w:color w:val="1F497D" w:themeColor="text2"/>
        </w:rPr>
      </w:pPr>
      <w:r w:rsidRPr="00383DB2">
        <w:rPr>
          <w:color w:val="1F497D" w:themeColor="text2"/>
        </w:rPr>
        <w:t>за неправомерное неисполнение банком в установленный срок поручения страховщика о перечислении страховых взносов, пеней и штрафов, совершение банком действий по созданию ситуации отсутствия денежных средств на счете страхователя, в отношении которых в банке находится поручение страховщика на списание и перечисление средств в бюджет;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tabs>
          <w:tab w:val="left" w:pos="851"/>
          <w:tab w:val="left" w:pos="3600"/>
        </w:tabs>
        <w:spacing w:after="200"/>
        <w:ind w:left="0" w:firstLine="425"/>
        <w:jc w:val="both"/>
        <w:rPr>
          <w:b/>
          <w:bCs/>
          <w:color w:val="1F497D" w:themeColor="text2"/>
        </w:rPr>
      </w:pPr>
      <w:r w:rsidRPr="00383DB2">
        <w:rPr>
          <w:b/>
          <w:color w:val="1F497D" w:themeColor="text2"/>
        </w:rPr>
        <w:t>штрафы</w:t>
      </w:r>
      <w:r w:rsidRPr="00383DB2">
        <w:rPr>
          <w:color w:val="1F497D" w:themeColor="text2"/>
        </w:rPr>
        <w:t xml:space="preserve"> </w:t>
      </w:r>
      <w:r w:rsidRPr="00383DB2">
        <w:rPr>
          <w:b/>
          <w:color w:val="1F497D" w:themeColor="text2"/>
        </w:rPr>
        <w:t>за административные правонарушения</w:t>
      </w:r>
      <w:r w:rsidRPr="00383DB2">
        <w:rPr>
          <w:color w:val="1F497D" w:themeColor="text2"/>
        </w:rPr>
        <w:t>, и иные суммы в возмещение ущерба, зачисляемых в бюджет Фонда;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  <w:r w:rsidRPr="00383DB2">
        <w:rPr>
          <w:rStyle w:val="a4"/>
          <w:color w:val="1F497D" w:themeColor="text2"/>
        </w:rPr>
        <w:t xml:space="preserve">2. Штрафы за нарушение законодательства (в счет погашения задолженности, образовавшейся </w:t>
      </w:r>
      <w:r w:rsidRPr="00383DB2">
        <w:rPr>
          <w:rStyle w:val="a4"/>
          <w:color w:val="1F497D" w:themeColor="text2"/>
          <w:u w:val="single"/>
        </w:rPr>
        <w:t>после 1 января 2020</w:t>
      </w:r>
      <w:r w:rsidRPr="00383DB2">
        <w:rPr>
          <w:rStyle w:val="a4"/>
          <w:color w:val="1F497D" w:themeColor="text2"/>
        </w:rPr>
        <w:t>):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>КБК</w:t>
      </w: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ab/>
        <w:t xml:space="preserve"> 393 1 16 07090 07 0000 140: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нарушение страхователями установленного срока регистрации в качестве страхователя;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несоблюдение порядка представления расчета по начисленным и уплаченным страховым взносам в электронном виде;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отказ или непредставление в установленный срок документов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взносов;  </w:t>
      </w:r>
    </w:p>
    <w:p w:rsidR="00A949E3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несообщение в установленный срок банком в территориальный орган Фонда сведений об открытии или о закрытии счета, об изменении реквизитов счета организации, индивидуального предпринимателя;</w:t>
      </w:r>
    </w:p>
    <w:p w:rsidR="00F12168" w:rsidRPr="00383DB2" w:rsidRDefault="003929EB" w:rsidP="00E239A0">
      <w:pPr>
        <w:pStyle w:val="a6"/>
        <w:adjustRightInd w:val="0"/>
        <w:spacing w:after="200"/>
        <w:ind w:left="425"/>
        <w:jc w:val="both"/>
        <w:outlineLvl w:val="1"/>
        <w:rPr>
          <w:color w:val="1F497D" w:themeColor="text2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413F2F42" wp14:editId="3004C94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1B" w:rsidRDefault="000B3B0E" w:rsidP="000B3B0E">
      <w:pPr>
        <w:adjustRightInd w:val="0"/>
        <w:jc w:val="both"/>
        <w:outlineLvl w:val="1"/>
        <w:rPr>
          <w:color w:val="1F497D" w:themeColor="text2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622E18BB" wp14:editId="1D7797ED">
            <wp:simplePos x="0" y="0"/>
            <wp:positionH relativeFrom="page">
              <wp:posOffset>-30480</wp:posOffset>
            </wp:positionH>
            <wp:positionV relativeFrom="page">
              <wp:posOffset>35560</wp:posOffset>
            </wp:positionV>
            <wp:extent cx="7590790" cy="885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E2" w:rsidRDefault="007149E2" w:rsidP="007149E2">
      <w:pPr>
        <w:pStyle w:val="a6"/>
        <w:adjustRightInd w:val="0"/>
        <w:spacing w:after="200"/>
        <w:ind w:left="425"/>
        <w:jc w:val="both"/>
        <w:outlineLvl w:val="1"/>
        <w:rPr>
          <w:color w:val="1F497D" w:themeColor="text2"/>
        </w:rPr>
      </w:pP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непредставление банком справок о наличии счетов в банке и (или) об остатках денежных средств на счетах, выписок по операциям на счетах организаций, индивидуальных предпринимателей в территориальный орган Фонда, а также представление справок (выписок) с нарушением срока или справок (выписок), содержащих недостоверные сведения;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нарушение банком установленного срока исполнения поручения страхователя о перечислении страховых взносов;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неправомерное неисполнение банком в установленный срок поручения страховщика о перечислении страховых взносов, пеней и штрафов, совершение банком действий по созданию ситуации отсутствия денежных средств на счете страхователя, в отношении которых в банке находится поручение страховщика на списание и перечисление средств в бюджет.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b/>
          <w:color w:val="1F497D" w:themeColor="text2"/>
        </w:rPr>
        <w:t>штрафы за административные правонарушения</w:t>
      </w:r>
      <w:r w:rsidRPr="00383DB2">
        <w:rPr>
          <w:color w:val="1F497D" w:themeColor="text2"/>
        </w:rPr>
        <w:t>, и иные суммы в возмещение ущерба, зачисляемых в бюджет Фонда;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F497D" w:themeColor="text2"/>
          <w:sz w:val="28"/>
          <w:u w:val="single"/>
        </w:rPr>
      </w:pPr>
      <w:r w:rsidRPr="00383DB2">
        <w:rPr>
          <w:color w:val="1F497D" w:themeColor="text2"/>
          <w:sz w:val="28"/>
          <w:u w:val="single"/>
        </w:rPr>
        <w:t>Остальные реквизиты остались прежними: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Получатель: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УФК по Кемеровской области (ГУ–Кузбасское РО Фонда социального страхования Российской Федерации)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ИНН 4207009857,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КПП 420501001,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расчетный счет 40101810400000010007 в </w:t>
      </w:r>
      <w:r w:rsidRPr="00383DB2">
        <w:rPr>
          <w:b/>
          <w:bCs/>
          <w:color w:val="1F497D" w:themeColor="text2"/>
        </w:rPr>
        <w:t>Отделении Кемерово</w:t>
      </w:r>
      <w:r w:rsidRPr="00383DB2">
        <w:rPr>
          <w:color w:val="1F497D" w:themeColor="text2"/>
        </w:rPr>
        <w:t>,  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БИК 043207001,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6B019C">
        <w:rPr>
          <w:color w:val="1F497D" w:themeColor="text2"/>
        </w:rPr>
        <w:t>ОКТМО (указывается код в зависимости от места регистрации страхователя)</w:t>
      </w:r>
      <w:r w:rsidRPr="00383DB2">
        <w:rPr>
          <w:color w:val="1F497D" w:themeColor="text2"/>
        </w:rPr>
        <w:t xml:space="preserve"> 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КБК: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1. Обязательное социальное страхование от несчастных случаев на производстве и профзаболеваний: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1000 160 – страховые взносы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02 02050 07 2100 160 – пени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2200 160 – проценты, начисленные на сумму отсрочки (рассрочки) по уплате страховых взносов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3000 160 – штрафы: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Неуплата или неполная уплата сумм страховых взносов в результате занижения базы для начисления страховых взносов;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Непредставление страхователем в установленный Федеральным законом №125-ФЗ срок отчетности страховщику.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2. Капитализированные платежи: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393 1 17 04000 01 6000 180</w:t>
      </w:r>
    </w:p>
    <w:p w:rsidR="00A949E3" w:rsidRPr="00383DB2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</w:rPr>
      </w:pPr>
    </w:p>
    <w:p w:rsidR="005F33B6" w:rsidRDefault="00A949E3" w:rsidP="006B019C">
      <w:pPr>
        <w:pStyle w:val="a3"/>
        <w:spacing w:before="0" w:beforeAutospacing="0" w:after="80" w:afterAutospacing="0" w:line="276" w:lineRule="auto"/>
        <w:ind w:firstLine="1134"/>
        <w:jc w:val="both"/>
        <w:rPr>
          <w:bCs/>
          <w:sz w:val="28"/>
          <w:szCs w:val="28"/>
        </w:rPr>
      </w:pPr>
      <w:r w:rsidRPr="00383DB2">
        <w:rPr>
          <w:color w:val="1F497D" w:themeColor="text2"/>
        </w:rPr>
        <w:t xml:space="preserve">В случае возникновения вопросов информацию можно получить по </w:t>
      </w:r>
      <w:r w:rsidRPr="006B019C">
        <w:rPr>
          <w:color w:val="1F497D" w:themeColor="text2"/>
        </w:rPr>
        <w:t xml:space="preserve">телефону: </w:t>
      </w:r>
      <w:r w:rsidR="006B019C" w:rsidRPr="006B019C">
        <w:rPr>
          <w:color w:val="1F497D" w:themeColor="text2"/>
          <w:u w:val="single"/>
        </w:rPr>
        <w:t>3-29-97, 3-35-74</w:t>
      </w:r>
      <w:r w:rsidRPr="006B019C">
        <w:rPr>
          <w:color w:val="1F497D" w:themeColor="text2"/>
          <w:u w:val="single"/>
        </w:rPr>
        <w:t xml:space="preserve"> </w:t>
      </w:r>
      <w:r w:rsidRPr="006B019C">
        <w:rPr>
          <w:color w:val="1F497D" w:themeColor="text2"/>
        </w:rPr>
        <w:t>или</w:t>
      </w:r>
      <w:r w:rsidRPr="00383DB2">
        <w:rPr>
          <w:color w:val="1F497D" w:themeColor="text2"/>
        </w:rPr>
        <w:t xml:space="preserve"> по электронной почте</w:t>
      </w:r>
      <w:r w:rsidR="00B76592">
        <w:rPr>
          <w:color w:val="1F497D" w:themeColor="text2"/>
        </w:rPr>
        <w:t>:</w:t>
      </w:r>
      <w:r w:rsidRPr="00383DB2">
        <w:rPr>
          <w:color w:val="1F497D" w:themeColor="text2"/>
        </w:rPr>
        <w:t xml:space="preserve"> </w:t>
      </w:r>
      <w:bookmarkStart w:id="0" w:name="_GoBack"/>
      <w:r w:rsidR="00B76592" w:rsidRPr="00B76592">
        <w:rPr>
          <w:color w:val="1F497D" w:themeColor="text2"/>
          <w:u w:val="single"/>
        </w:rPr>
        <w:t>su.polozhentseva@ro42.fss.ru</w:t>
      </w:r>
      <w:r w:rsidRPr="00B76592">
        <w:rPr>
          <w:color w:val="1F497D" w:themeColor="text2"/>
          <w:u w:val="single"/>
        </w:rPr>
        <w:t>,</w:t>
      </w:r>
      <w:r w:rsidRPr="00383DB2">
        <w:rPr>
          <w:color w:val="1F497D" w:themeColor="text2"/>
        </w:rPr>
        <w:t xml:space="preserve"> </w:t>
      </w:r>
      <w:bookmarkEnd w:id="0"/>
      <w:r w:rsidRPr="00383DB2">
        <w:rPr>
          <w:color w:val="1F497D" w:themeColor="text2"/>
        </w:rPr>
        <w:t xml:space="preserve">где в теме письма указать </w:t>
      </w:r>
      <w:r w:rsidRPr="00383DB2">
        <w:rPr>
          <w:b/>
          <w:i/>
          <w:color w:val="1F497D" w:themeColor="text2"/>
        </w:rPr>
        <w:t>«Реквизиты для уплаты страховых взносов»</w:t>
      </w:r>
      <w:r w:rsidR="005F33B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542B99A" wp14:editId="0BD71719">
            <wp:simplePos x="0" y="0"/>
            <wp:positionH relativeFrom="page">
              <wp:align>left</wp:align>
            </wp:positionH>
            <wp:positionV relativeFrom="page">
              <wp:posOffset>10276205</wp:posOffset>
            </wp:positionV>
            <wp:extent cx="7534275" cy="3670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3B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19C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592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3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9DB8-B4A2-44CB-AA5C-D6EA513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2020-01-27T10:17:00Z</cp:lastPrinted>
  <dcterms:created xsi:type="dcterms:W3CDTF">2020-01-27T10:17:00Z</dcterms:created>
  <dcterms:modified xsi:type="dcterms:W3CDTF">2020-01-28T03:40:00Z</dcterms:modified>
</cp:coreProperties>
</file>