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535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A9E" w:rsidRPr="003C07D9" w:rsidRDefault="003A7A9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Default="003A7A9E" w:rsidP="0068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ПОКУПОК В МАГАЗИНЕ ЧУЖОЙ БАНКОВСКОЙ КАРТОЙ БЕЗ СОГЛАСИЯ СОБСТВЕННИКА: КРАЖА ИЛИ МОШЕННИЧЕСТВО</w:t>
      </w: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159.3 Уголовного кодекса РФ предусматривает уголовную ответственность за мошенничество с использованием электронных средств платежа. Максимальное наказание за данное преступление не превышает 3-х лет лишения свободы, в связи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связи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Российской Федерации разъяснил, что хищение злоумышленником денежных средств в таких случаях квалифицируется как кража (пункт 17 постановления Пленума от 30.11.2017 № 48 «О судебной </w:t>
      </w: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3A7A9E" w:rsidRPr="0068257A" w:rsidRDefault="003A7A9E" w:rsidP="00682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иная оценка действиям виновного не может быть дана, и они квалифицируются по п. «г» ч. 3 ст. 158 УК РФ.</w:t>
      </w:r>
    </w:p>
    <w:p w:rsidR="007E7C2B" w:rsidRDefault="007E7C2B" w:rsidP="00682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7E7C2B" w:rsidSect="0022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240B1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B42C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2023-06-17T02:32:00Z</dcterms:modified>
</cp:coreProperties>
</file>